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Default="001D1C41" w:rsidP="001D1C41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2014-201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proofErr w:type="gramStart"/>
      <w:r w:rsidR="00A472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остановление) изменения:</w:t>
      </w:r>
    </w:p>
    <w:p w:rsidR="001D1C41" w:rsidRPr="00D26225" w:rsidRDefault="001D1C41" w:rsidP="00D26225">
      <w:pPr>
        <w:pStyle w:val="a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</w:t>
      </w:r>
      <w:r w:rsidR="00833C6A" w:rsidRPr="00D262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C51" w:rsidRPr="00D2622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 xml:space="preserve">, курирующего деятельность департамента имущественных и </w:t>
      </w:r>
      <w:proofErr w:type="gramStart"/>
      <w:r w:rsidR="00B8289B">
        <w:rPr>
          <w:sz w:val="28"/>
          <w:szCs w:val="28"/>
        </w:rPr>
        <w:t>земельных</w:t>
      </w:r>
      <w:proofErr w:type="gramEnd"/>
      <w:r w:rsidR="00B8289B">
        <w:rPr>
          <w:sz w:val="28"/>
          <w:szCs w:val="28"/>
        </w:rPr>
        <w:t xml:space="preserve">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</w:t>
            </w:r>
            <w:proofErr w:type="gramStart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ормирование на территории Ханты-Мансийского района возможности беспрепятственного предоставления земельных участков для </w:t>
            </w:r>
            <w:proofErr w:type="gramStart"/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  <w:proofErr w:type="gramEnd"/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B8289B">
              <w:rPr>
                <w:rFonts w:ascii="Times New Roman" w:eastAsia="Times New Roman" w:hAnsi="Times New Roman"/>
                <w:sz w:val="28"/>
                <w:szCs w:val="28"/>
              </w:rPr>
              <w:t>751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A86D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A86DF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5F13E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449,8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3 375,0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1 649,0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E3A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205</w:t>
            </w:r>
            <w:r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</w:t>
      </w:r>
      <w:proofErr w:type="gramStart"/>
      <w:r w:rsidRPr="00ED0AD5">
        <w:rPr>
          <w:spacing w:val="2"/>
          <w:sz w:val="28"/>
          <w:szCs w:val="28"/>
        </w:rPr>
        <w:t xml:space="preserve">вовлечено </w:t>
      </w:r>
      <w:r w:rsidR="00E02961">
        <w:rPr>
          <w:spacing w:val="2"/>
          <w:sz w:val="28"/>
          <w:szCs w:val="28"/>
        </w:rPr>
        <w:t xml:space="preserve">           </w:t>
      </w:r>
      <w:r w:rsidRPr="00ED0AD5">
        <w:rPr>
          <w:spacing w:val="2"/>
          <w:sz w:val="28"/>
          <w:szCs w:val="28"/>
        </w:rPr>
        <w:t xml:space="preserve">в оборот </w:t>
      </w:r>
      <w:r>
        <w:rPr>
          <w:spacing w:val="2"/>
          <w:sz w:val="28"/>
          <w:szCs w:val="28"/>
        </w:rPr>
        <w:t>и предоставлено</w:t>
      </w:r>
      <w:proofErr w:type="gramEnd"/>
      <w:r>
        <w:rPr>
          <w:spacing w:val="2"/>
          <w:sz w:val="28"/>
          <w:szCs w:val="28"/>
        </w:rPr>
        <w:t xml:space="preserve"> гражданам и юридическим лицам на правах аренды, собственности, постоянного (бессрочного) пользования </w:t>
      </w:r>
      <w:r w:rsidR="00E02961">
        <w:rPr>
          <w:spacing w:val="2"/>
          <w:sz w:val="28"/>
          <w:szCs w:val="28"/>
        </w:rPr>
        <w:t xml:space="preserve">               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участках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</w:t>
      </w:r>
      <w:r w:rsidR="00973D41">
        <w:rPr>
          <w:rFonts w:ascii="Times New Roman" w:hAnsi="Times New Roman"/>
          <w:sz w:val="28"/>
          <w:szCs w:val="28"/>
        </w:rPr>
        <w:t>4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насчитывается </w:t>
      </w:r>
      <w:r w:rsidRPr="000C06C1">
        <w:rPr>
          <w:rFonts w:ascii="Times New Roman" w:hAnsi="Times New Roman"/>
          <w:sz w:val="28"/>
          <w:szCs w:val="28"/>
        </w:rPr>
        <w:t>1 </w:t>
      </w:r>
      <w:r w:rsidR="00A40343" w:rsidRPr="000C06C1">
        <w:rPr>
          <w:rFonts w:ascii="Times New Roman" w:hAnsi="Times New Roman"/>
          <w:sz w:val="28"/>
          <w:szCs w:val="28"/>
        </w:rPr>
        <w:t>3</w:t>
      </w:r>
      <w:r w:rsidRPr="000C06C1">
        <w:rPr>
          <w:rFonts w:ascii="Times New Roman" w:hAnsi="Times New Roman"/>
          <w:sz w:val="28"/>
          <w:szCs w:val="28"/>
        </w:rPr>
        <w:t>34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п.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 ст.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189-ФЗ «О введении </w:t>
      </w:r>
      <w:r w:rsidR="00E02961">
        <w:rPr>
          <w:rFonts w:ascii="Times New Roman" w:hAnsi="Times New Roman"/>
          <w:sz w:val="28"/>
          <w:szCs w:val="28"/>
        </w:rPr>
        <w:t xml:space="preserve">                       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E02961">
        <w:rPr>
          <w:rFonts w:ascii="Times New Roman" w:hAnsi="Times New Roman"/>
          <w:sz w:val="28"/>
          <w:szCs w:val="28"/>
        </w:rPr>
        <w:t xml:space="preserve">                   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</w:t>
      </w:r>
      <w:proofErr w:type="gramStart"/>
      <w:r w:rsidRPr="00D17FC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B57401" w:rsidRPr="007C7CBF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400974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</w:t>
      </w:r>
      <w:r w:rsidRPr="001135AE">
        <w:rPr>
          <w:sz w:val="28"/>
          <w:szCs w:val="28"/>
        </w:rPr>
        <w:t>(ред. от 25.05.2016)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(2014 - 2019 годы)</w:t>
      </w:r>
      <w:r>
        <w:rPr>
          <w:sz w:val="28"/>
          <w:szCs w:val="28"/>
        </w:rPr>
        <w:t>»;</w:t>
      </w:r>
    </w:p>
    <w:p w:rsidR="001135AE" w:rsidRPr="001135AE" w:rsidRDefault="001135AE" w:rsidP="007E49CF">
      <w:pPr>
        <w:pStyle w:val="Default"/>
        <w:ind w:firstLine="720"/>
        <w:jc w:val="both"/>
        <w:rPr>
          <w:sz w:val="28"/>
          <w:szCs w:val="28"/>
        </w:rPr>
      </w:pP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lastRenderedPageBreak/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 xml:space="preserve">ормирование на территории Ханты-Мансийского района возможности беспрепятственного предоставления земельных участков для </w:t>
      </w:r>
      <w:proofErr w:type="gramStart"/>
      <w:r w:rsidRPr="00605009">
        <w:rPr>
          <w:rFonts w:ascii="Times New Roman" w:hAnsi="Times New Roman"/>
          <w:sz w:val="28"/>
          <w:szCs w:val="28"/>
        </w:rPr>
        <w:t>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proofErr w:type="gramEnd"/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5A5E36" w:rsidRPr="00650780">
        <w:rPr>
          <w:rFonts w:ascii="Times New Roman" w:hAnsi="Times New Roman"/>
          <w:sz w:val="28"/>
          <w:szCs w:val="28"/>
        </w:rPr>
        <w:t>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lastRenderedPageBreak/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387BFE" w:rsidRDefault="00B57401" w:rsidP="00E02961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7BFE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</w:t>
      </w:r>
      <w:proofErr w:type="gramStart"/>
      <w:r w:rsidRPr="00605009">
        <w:rPr>
          <w:rFonts w:ascii="Times New Roman" w:hAnsi="Times New Roman"/>
          <w:sz w:val="28"/>
          <w:szCs w:val="28"/>
        </w:rPr>
        <w:t>утратила актуальность и требует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A48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</w:t>
      </w:r>
      <w:proofErr w:type="gramStart"/>
      <w:r w:rsidRPr="0060500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C12484" w:rsidRDefault="00C12484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851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98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</w:tr>
      <w:tr w:rsidR="00B2799F" w:rsidRPr="00CA48CD" w:rsidTr="00630848">
        <w:tc>
          <w:tcPr>
            <w:tcW w:w="547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B2799F" w:rsidRPr="00CA48CD" w:rsidRDefault="00B2799F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984" w:type="dxa"/>
          </w:tcPr>
          <w:p w:rsidR="00B2799F" w:rsidRDefault="00B2799F" w:rsidP="00B2799F">
            <w:pPr>
              <w:jc w:val="center"/>
            </w:pPr>
            <w:r w:rsidRPr="004418BA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</w:tr>
      <w:tr w:rsidR="00B2799F" w:rsidRPr="00CA48CD" w:rsidTr="00630848">
        <w:tc>
          <w:tcPr>
            <w:tcW w:w="547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B2799F" w:rsidRPr="00CA48CD" w:rsidRDefault="00B2799F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:rsidR="00B2799F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B2799F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51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984" w:type="dxa"/>
          </w:tcPr>
          <w:p w:rsidR="00B2799F" w:rsidRDefault="00B2799F" w:rsidP="00B2799F">
            <w:pPr>
              <w:jc w:val="center"/>
            </w:pPr>
            <w:r w:rsidRPr="00F2047E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CA48CD" w:rsidRDefault="00C12484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</w:tcPr>
          <w:p w:rsidR="00C12484" w:rsidRPr="00CA48CD" w:rsidRDefault="004C6F1B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</w:tcPr>
          <w:p w:rsidR="00C12484" w:rsidRPr="00CA48CD" w:rsidRDefault="000D588C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</w:tcPr>
          <w:p w:rsidR="00C12484" w:rsidRPr="00CA48CD" w:rsidRDefault="000D588C" w:rsidP="00EC4F5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C4F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CA48CD" w:rsidRDefault="00B2799F" w:rsidP="00B2799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CA48CD" w:rsidRDefault="00B2799F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733F49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733F49" w:rsidP="003560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9 133</w:t>
            </w:r>
            <w:r w:rsidR="000C0FE6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3 096,0</w:t>
            </w:r>
          </w:p>
        </w:tc>
        <w:tc>
          <w:tcPr>
            <w:tcW w:w="990" w:type="dxa"/>
          </w:tcPr>
          <w:p w:rsidR="00C12484" w:rsidRPr="00CA48CD" w:rsidRDefault="003560A3" w:rsidP="006308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50,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C12484" w:rsidRPr="00CA48CD" w:rsidRDefault="00733F49" w:rsidP="001E4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1 205</w:t>
            </w:r>
            <w:r w:rsidR="00973D4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733F49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560A3">
              <w:rPr>
                <w:rFonts w:ascii="Times New Roman" w:eastAsia="Times New Roman" w:hAnsi="Times New Roman"/>
                <w:lang w:eastAsia="ru-RU"/>
              </w:rPr>
              <w:t>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CA48CD" w:rsidRDefault="00733F49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733F49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</w:t>
            </w:r>
            <w:r w:rsidR="00733F49">
              <w:rPr>
                <w:sz w:val="22"/>
                <w:szCs w:val="22"/>
              </w:rPr>
              <w:t>0</w:t>
            </w:r>
            <w:r w:rsidR="00B7283B">
              <w:rPr>
                <w:sz w:val="22"/>
                <w:szCs w:val="22"/>
              </w:rPr>
              <w:t>1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733F49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 xml:space="preserve">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733F49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733F49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F807F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1</w:t>
            </w:r>
            <w:r w:rsidR="000C0FE6"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1 649,0</w:t>
            </w:r>
          </w:p>
        </w:tc>
        <w:tc>
          <w:tcPr>
            <w:tcW w:w="880" w:type="dxa"/>
          </w:tcPr>
          <w:p w:rsidR="00C12484" w:rsidRPr="00973D41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1 649,0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 xml:space="preserve">(департамент имущественных и </w:t>
            </w:r>
            <w:proofErr w:type="gramStart"/>
            <w:r w:rsidRPr="00CA48CD">
              <w:rPr>
                <w:rFonts w:ascii="Times New Roman" w:hAnsi="Times New Roman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</w:rPr>
              <w:t xml:space="preserve"> отношений)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F807F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3 375,0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2 245,1</w:t>
            </w:r>
          </w:p>
        </w:tc>
        <w:tc>
          <w:tcPr>
            <w:tcW w:w="880" w:type="dxa"/>
          </w:tcPr>
          <w:p w:rsidR="00C12484" w:rsidRPr="00CA48CD" w:rsidRDefault="00973D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1205,0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9F" w:rsidRDefault="00B2799F" w:rsidP="00B7030D">
      <w:r>
        <w:separator/>
      </w:r>
    </w:p>
  </w:endnote>
  <w:endnote w:type="continuationSeparator" w:id="0">
    <w:p w:rsidR="00B2799F" w:rsidRDefault="00B2799F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B2799F" w:rsidP="002E24A9">
    <w:pPr>
      <w:pStyle w:val="aa"/>
    </w:pPr>
  </w:p>
  <w:p w:rsidR="00B2799F" w:rsidRDefault="00B279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B2799F" w:rsidP="002E24A9">
    <w:pPr>
      <w:pStyle w:val="aa"/>
    </w:pPr>
  </w:p>
  <w:p w:rsidR="00B2799F" w:rsidRDefault="00B279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B2799F" w:rsidP="002E24A9">
    <w:pPr>
      <w:pStyle w:val="aa"/>
    </w:pPr>
  </w:p>
  <w:p w:rsidR="00B2799F" w:rsidRDefault="00B279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9F" w:rsidRDefault="00B2799F" w:rsidP="00B7030D">
      <w:r>
        <w:separator/>
      </w:r>
    </w:p>
  </w:footnote>
  <w:footnote w:type="continuationSeparator" w:id="0">
    <w:p w:rsidR="00B2799F" w:rsidRDefault="00B2799F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B2799F" w:rsidRDefault="00400974">
        <w:pPr>
          <w:pStyle w:val="a8"/>
          <w:jc w:val="center"/>
        </w:pPr>
        <w:fldSimple w:instr="PAGE   \* MERGEFORMAT">
          <w:r w:rsidR="00EC4F50">
            <w:rPr>
              <w:noProof/>
            </w:rPr>
            <w:t>11</w:t>
          </w:r>
        </w:fldSimple>
      </w:p>
    </w:sdtContent>
  </w:sdt>
  <w:p w:rsidR="00B2799F" w:rsidRDefault="00B279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B2799F">
    <w:pPr>
      <w:pStyle w:val="a8"/>
      <w:jc w:val="center"/>
    </w:pPr>
  </w:p>
  <w:p w:rsidR="00B2799F" w:rsidRDefault="00B279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B2799F" w:rsidRDefault="00400974">
        <w:pPr>
          <w:pStyle w:val="a8"/>
          <w:jc w:val="center"/>
        </w:pPr>
        <w:fldSimple w:instr=" PAGE   \* MERGEFORMAT ">
          <w:r w:rsidR="00B2799F">
            <w:rPr>
              <w:noProof/>
            </w:rPr>
            <w:t>12</w:t>
          </w:r>
        </w:fldSimple>
      </w:p>
    </w:sdtContent>
  </w:sdt>
  <w:p w:rsidR="00B2799F" w:rsidRDefault="00B2799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B2799F" w:rsidRDefault="00400974">
        <w:pPr>
          <w:pStyle w:val="a8"/>
          <w:jc w:val="center"/>
        </w:pPr>
        <w:fldSimple w:instr="PAGE   \* MERGEFORMAT">
          <w:r w:rsidR="00EC4F50">
            <w:rPr>
              <w:noProof/>
            </w:rPr>
            <w:t>12</w:t>
          </w:r>
        </w:fldSimple>
      </w:p>
    </w:sdtContent>
  </w:sdt>
  <w:p w:rsidR="00B2799F" w:rsidRDefault="00B2799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B2799F" w:rsidRDefault="00400974">
        <w:pPr>
          <w:pStyle w:val="a8"/>
          <w:jc w:val="center"/>
        </w:pPr>
        <w:fldSimple w:instr=" PAGE   \* MERGEFORMAT ">
          <w:r w:rsidR="00EC4F50">
            <w:rPr>
              <w:noProof/>
            </w:rPr>
            <w:t>13</w:t>
          </w:r>
        </w:fldSimple>
      </w:p>
    </w:sdtContent>
  </w:sdt>
  <w:p w:rsidR="00B2799F" w:rsidRDefault="00B2799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B2799F">
    <w:pPr>
      <w:pStyle w:val="a8"/>
      <w:jc w:val="center"/>
    </w:pPr>
  </w:p>
  <w:p w:rsidR="00B2799F" w:rsidRDefault="00B279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370B7"/>
    <w:rsid w:val="002453FE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0974"/>
    <w:rsid w:val="004014A9"/>
    <w:rsid w:val="0040352D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4155"/>
    <w:rsid w:val="0068500E"/>
    <w:rsid w:val="006865F4"/>
    <w:rsid w:val="00690407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120A"/>
    <w:rsid w:val="00733F49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3F25"/>
    <w:rsid w:val="007A556F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640D"/>
    <w:rsid w:val="007D6D1D"/>
    <w:rsid w:val="007E04BC"/>
    <w:rsid w:val="007E49CF"/>
    <w:rsid w:val="007F0BC1"/>
    <w:rsid w:val="007F2E54"/>
    <w:rsid w:val="007F30B0"/>
    <w:rsid w:val="007F474A"/>
    <w:rsid w:val="00800E14"/>
    <w:rsid w:val="00805055"/>
    <w:rsid w:val="00822AB5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8B4"/>
    <w:rsid w:val="00961928"/>
    <w:rsid w:val="00972F4C"/>
    <w:rsid w:val="00973D41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3E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86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799F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3B30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558A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4F50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3393C"/>
    <w:rsid w:val="00F33B08"/>
    <w:rsid w:val="00F3529A"/>
    <w:rsid w:val="00F3589C"/>
    <w:rsid w:val="00F504A6"/>
    <w:rsid w:val="00F50739"/>
    <w:rsid w:val="00F52904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83A-97FF-4F2E-88EA-EF0C11DA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14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boiko</cp:lastModifiedBy>
  <cp:revision>41</cp:revision>
  <cp:lastPrinted>2016-12-19T09:29:00Z</cp:lastPrinted>
  <dcterms:created xsi:type="dcterms:W3CDTF">2016-10-05T06:36:00Z</dcterms:created>
  <dcterms:modified xsi:type="dcterms:W3CDTF">2016-12-19T09:29:00Z</dcterms:modified>
</cp:coreProperties>
</file>